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B4D0A" w14:textId="77777777" w:rsidR="00EB1B0F" w:rsidRPr="000C6583" w:rsidRDefault="00EB1B0F" w:rsidP="00EB1B0F">
      <w:pPr>
        <w:pStyle w:val="Zkladn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1E4F5"/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C6583">
        <w:rPr>
          <w:rFonts w:ascii="Tahoma" w:hAnsi="Tahoma" w:cs="Tahoma"/>
          <w:b/>
          <w:sz w:val="20"/>
          <w:szCs w:val="20"/>
        </w:rPr>
        <w:t>VEŘEJNÁ ZAKÁZKA MALÉHO ROZSAHU NA DODÁVKY S NÁZVEM:</w:t>
      </w:r>
    </w:p>
    <w:p w14:paraId="538748F4" w14:textId="5ADF1442" w:rsidR="00EB1B0F" w:rsidRPr="000C6583" w:rsidRDefault="00EB1B0F" w:rsidP="00EB1B0F">
      <w:pPr>
        <w:pStyle w:val="Zkladn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1E4F5"/>
        <w:tabs>
          <w:tab w:val="center" w:pos="4536"/>
          <w:tab w:val="right" w:pos="9072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C6583">
        <w:rPr>
          <w:rFonts w:ascii="Tahoma" w:hAnsi="Tahoma" w:cs="Tahoma"/>
          <w:b/>
          <w:sz w:val="20"/>
          <w:szCs w:val="20"/>
        </w:rPr>
        <w:t xml:space="preserve">„Pořízení automobilů pro </w:t>
      </w:r>
      <w:r w:rsidR="00EA5A6F">
        <w:rPr>
          <w:rFonts w:ascii="Tahoma" w:hAnsi="Tahoma" w:cs="Tahoma"/>
          <w:b/>
          <w:sz w:val="20"/>
          <w:szCs w:val="20"/>
        </w:rPr>
        <w:t>C</w:t>
      </w:r>
      <w:r w:rsidRPr="000C6583">
        <w:rPr>
          <w:rFonts w:ascii="Tahoma" w:hAnsi="Tahoma" w:cs="Tahoma"/>
          <w:b/>
          <w:sz w:val="20"/>
          <w:szCs w:val="20"/>
        </w:rPr>
        <w:t>entrum sociálních služeb,</w:t>
      </w:r>
    </w:p>
    <w:p w14:paraId="0806AE0F" w14:textId="77777777" w:rsidR="00EB1B0F" w:rsidRPr="000C6583" w:rsidRDefault="00EB1B0F" w:rsidP="00EB1B0F">
      <w:pPr>
        <w:pStyle w:val="Zkladn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1E4F5"/>
        <w:tabs>
          <w:tab w:val="center" w:pos="4536"/>
          <w:tab w:val="right" w:pos="9072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C6583">
        <w:rPr>
          <w:rFonts w:ascii="Tahoma" w:hAnsi="Tahoma" w:cs="Tahoma"/>
          <w:b/>
          <w:sz w:val="20"/>
          <w:szCs w:val="20"/>
        </w:rPr>
        <w:t>Oblastní charita Náchod“</w:t>
      </w:r>
    </w:p>
    <w:p w14:paraId="03501AC4" w14:textId="283C94F8" w:rsidR="00EB1B0F" w:rsidRDefault="00EB1B0F" w:rsidP="00EB1B0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C6583">
        <w:rPr>
          <w:rFonts w:ascii="Tahoma" w:hAnsi="Tahoma" w:cs="Tahoma"/>
          <w:b/>
          <w:bCs/>
          <w:sz w:val="20"/>
          <w:szCs w:val="20"/>
        </w:rPr>
        <w:t xml:space="preserve">Příloha č. </w:t>
      </w:r>
      <w:r w:rsidR="00305650">
        <w:rPr>
          <w:rFonts w:ascii="Tahoma" w:hAnsi="Tahoma" w:cs="Tahoma"/>
          <w:b/>
          <w:bCs/>
          <w:sz w:val="20"/>
          <w:szCs w:val="20"/>
        </w:rPr>
        <w:t>3</w:t>
      </w:r>
    </w:p>
    <w:p w14:paraId="2E5C4CC0" w14:textId="25F92556" w:rsidR="00EB1B0F" w:rsidRDefault="00EB1B0F" w:rsidP="00EB1B0F">
      <w:pP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ČESTNÉ PROHLÁŠENÍ O KVALIFIKACI DODAVATELE</w:t>
      </w:r>
    </w:p>
    <w:p w14:paraId="1211DAE7" w14:textId="48382E7D" w:rsidR="00EB1B0F" w:rsidRPr="000C6583" w:rsidRDefault="00EB1B0F" w:rsidP="00EB1B0F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Obchodní firma: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52079E11" w14:textId="77777777" w:rsidR="00EB1B0F" w:rsidRPr="000C6583" w:rsidRDefault="00EB1B0F" w:rsidP="00EB1B0F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IČO: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0947DD54" w14:textId="77777777" w:rsidR="00EB1B0F" w:rsidRPr="000C6583" w:rsidRDefault="00EB1B0F" w:rsidP="00EB1B0F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zapsaná v obchodním rejstříku vedeném u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 xml:space="preserve">(doplní </w:t>
      </w:r>
      <w:proofErr w:type="gramStart"/>
      <w:r w:rsidRPr="000C6583">
        <w:rPr>
          <w:rFonts w:ascii="Tahoma" w:hAnsi="Tahoma" w:cs="Tahoma"/>
          <w:sz w:val="20"/>
          <w:szCs w:val="20"/>
          <w:shd w:val="clear" w:color="auto" w:fill="FFFF00"/>
        </w:rPr>
        <w:t>dodavatel)</w:t>
      </w:r>
      <w:r w:rsidRPr="000C6583">
        <w:rPr>
          <w:rFonts w:ascii="Tahoma" w:hAnsi="Tahoma" w:cs="Tahoma"/>
          <w:sz w:val="20"/>
          <w:szCs w:val="20"/>
        </w:rPr>
        <w:t>soudu</w:t>
      </w:r>
      <w:proofErr w:type="gramEnd"/>
      <w:r w:rsidRPr="000C6583">
        <w:rPr>
          <w:rFonts w:ascii="Tahoma" w:hAnsi="Tahoma" w:cs="Tahoma"/>
          <w:sz w:val="20"/>
          <w:szCs w:val="20"/>
        </w:rPr>
        <w:t xml:space="preserve"> v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 xml:space="preserve">(doplní dodavatel), </w:t>
      </w:r>
      <w:r w:rsidRPr="000C6583">
        <w:rPr>
          <w:rFonts w:ascii="Tahoma" w:hAnsi="Tahoma" w:cs="Tahoma"/>
          <w:sz w:val="20"/>
          <w:szCs w:val="20"/>
        </w:rPr>
        <w:t xml:space="preserve">vložka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 xml:space="preserve">(doplní dodavatel), </w:t>
      </w:r>
      <w:r w:rsidRPr="000C6583">
        <w:rPr>
          <w:rFonts w:ascii="Tahoma" w:hAnsi="Tahoma" w:cs="Tahoma"/>
          <w:sz w:val="20"/>
          <w:szCs w:val="20"/>
        </w:rPr>
        <w:t xml:space="preserve">oddíl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25028941" w14:textId="77777777" w:rsidR="00EB1B0F" w:rsidRPr="000C6583" w:rsidRDefault="00EB1B0F" w:rsidP="00EB1B0F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Sídlem: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6D583CC1" w14:textId="77777777" w:rsidR="00EB1B0F" w:rsidRPr="000C6583" w:rsidRDefault="00EB1B0F" w:rsidP="00EB1B0F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Jednající: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28475602" w14:textId="28855154" w:rsidR="00EB1B0F" w:rsidRPr="00EB1B0F" w:rsidRDefault="00EB1B0F" w:rsidP="00EB1B0F">
      <w:pPr>
        <w:autoSpaceDE w:val="0"/>
        <w:autoSpaceDN w:val="0"/>
        <w:adjustRightInd w:val="0"/>
        <w:spacing w:after="120" w:line="30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(dále jen </w:t>
      </w:r>
      <w:r w:rsidRPr="000C6583">
        <w:rPr>
          <w:rFonts w:ascii="Tahoma" w:hAnsi="Tahoma" w:cs="Tahoma"/>
          <w:i/>
          <w:iCs/>
          <w:sz w:val="20"/>
          <w:szCs w:val="20"/>
        </w:rPr>
        <w:t>„dodavatel“</w:t>
      </w:r>
      <w:r w:rsidRPr="000C6583">
        <w:rPr>
          <w:rFonts w:ascii="Tahoma" w:hAnsi="Tahoma" w:cs="Tahoma"/>
          <w:sz w:val="20"/>
          <w:szCs w:val="20"/>
        </w:rPr>
        <w:t>)</w:t>
      </w:r>
    </w:p>
    <w:p w14:paraId="53268A9C" w14:textId="77777777" w:rsidR="00D31ECF" w:rsidRPr="00EB1B0F" w:rsidRDefault="00D31ECF" w:rsidP="00EB1B0F">
      <w:pPr>
        <w:autoSpaceDE w:val="0"/>
        <w:autoSpaceDN w:val="0"/>
        <w:adjustRightInd w:val="0"/>
        <w:spacing w:before="120" w:after="120"/>
        <w:rPr>
          <w:rFonts w:ascii="Tahoma" w:hAnsi="Tahoma" w:cs="Tahoma"/>
          <w:bCs/>
          <w:sz w:val="20"/>
          <w:szCs w:val="20"/>
        </w:rPr>
      </w:pPr>
      <w:r w:rsidRPr="00EB1B0F">
        <w:rPr>
          <w:rFonts w:ascii="Tahoma" w:hAnsi="Tahoma" w:cs="Tahoma"/>
          <w:bCs/>
          <w:sz w:val="20"/>
          <w:szCs w:val="20"/>
        </w:rPr>
        <w:t>Dodavatel k prokázání základní způsobilosti prohlašuje, že:</w:t>
      </w:r>
    </w:p>
    <w:p w14:paraId="08A05C37" w14:textId="3FC756FB" w:rsidR="00D31ECF" w:rsidRPr="00EB1B0F" w:rsidRDefault="00D31ECF" w:rsidP="00D31ECF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EB1B0F">
        <w:rPr>
          <w:rFonts w:ascii="Tahoma" w:hAnsi="Tahoma" w:cs="Tahoma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</w:t>
      </w:r>
      <w:r w:rsidR="00EB1B0F">
        <w:rPr>
          <w:rFonts w:ascii="Tahoma" w:hAnsi="Tahoma" w:cs="Tahoma"/>
          <w:bCs/>
          <w:sz w:val="20"/>
          <w:szCs w:val="20"/>
        </w:rPr>
        <w:t>ZZVZ</w:t>
      </w:r>
      <w:r w:rsidRPr="00EB1B0F">
        <w:rPr>
          <w:rFonts w:ascii="Tahoma" w:hAnsi="Tahoma" w:cs="Tahoma"/>
          <w:bCs/>
          <w:sz w:val="20"/>
          <w:szCs w:val="20"/>
        </w:rPr>
        <w:t>“) nebo obdobný trestný čin podle právního řádu země sídla dodavatele; k zahlazeným odsouzením se nepřihlíží;</w:t>
      </w:r>
    </w:p>
    <w:p w14:paraId="0AFE5FC8" w14:textId="6D58191F" w:rsidR="00D31ECF" w:rsidRPr="00EB1B0F" w:rsidRDefault="00EB1B0F" w:rsidP="00D31ECF">
      <w:pPr>
        <w:pStyle w:val="Odstavecseseznamem"/>
        <w:spacing w:before="120" w:after="120"/>
        <w:ind w:left="714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  <w:u w:val="single"/>
        </w:rPr>
        <w:t>J</w:t>
      </w:r>
      <w:r w:rsidR="00D31ECF" w:rsidRPr="00EB1B0F">
        <w:rPr>
          <w:rFonts w:ascii="Tahoma" w:hAnsi="Tahoma" w:cs="Tahoma"/>
          <w:bCs/>
          <w:sz w:val="20"/>
          <w:szCs w:val="20"/>
          <w:u w:val="single"/>
        </w:rPr>
        <w:t>e-li dodavatelem právnická osoba</w:t>
      </w:r>
      <w:r w:rsidR="00D31ECF" w:rsidRPr="00EB1B0F">
        <w:rPr>
          <w:rFonts w:ascii="Tahoma" w:hAnsi="Tahoma" w:cs="Tahoma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="00D31ECF" w:rsidRPr="00EB1B0F">
        <w:rPr>
          <w:rFonts w:ascii="Tahoma" w:hAnsi="Tahoma" w:cs="Tahoma"/>
          <w:bCs/>
          <w:sz w:val="20"/>
          <w:szCs w:val="20"/>
          <w:u w:val="single"/>
        </w:rPr>
        <w:t>účastní-li se zadávacího řízení pobočka závodu zahraniční právnické osoby</w:t>
      </w:r>
      <w:r w:rsidR="00D31ECF" w:rsidRPr="00EB1B0F">
        <w:rPr>
          <w:rFonts w:ascii="Tahoma" w:hAnsi="Tahoma" w:cs="Tahoma"/>
          <w:bCs/>
          <w:sz w:val="20"/>
          <w:szCs w:val="20"/>
        </w:rPr>
        <w:t xml:space="preserve">, musí podmínku splňovat tato právnická osoba a vedoucí pobočky závodu; </w:t>
      </w:r>
      <w:r w:rsidR="00D31ECF" w:rsidRPr="00EB1B0F">
        <w:rPr>
          <w:rFonts w:ascii="Tahoma" w:hAnsi="Tahoma" w:cs="Tahoma"/>
          <w:bCs/>
          <w:sz w:val="20"/>
          <w:szCs w:val="20"/>
          <w:u w:val="single"/>
        </w:rPr>
        <w:t>účastní-li se zadávacího řízení pobočka závodu české právnické osoby</w:t>
      </w:r>
      <w:r w:rsidR="00D31ECF" w:rsidRPr="00EB1B0F">
        <w:rPr>
          <w:rFonts w:ascii="Tahoma" w:hAnsi="Tahoma" w:cs="Tahoma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5BAD3F2A" w14:textId="1705C2AD" w:rsidR="00D31ECF" w:rsidRPr="00EB1B0F" w:rsidRDefault="00D31ECF" w:rsidP="00D31ECF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EB1B0F">
        <w:rPr>
          <w:rFonts w:ascii="Tahoma" w:hAnsi="Tahoma" w:cs="Tahoma"/>
          <w:bCs/>
          <w:sz w:val="20"/>
          <w:szCs w:val="20"/>
        </w:rPr>
        <w:t>nemá v České republice nebo v zemi svého sídla v evidenci daní zachycen splatný daňový nedoplatek a nemá v České republice zachycen splatný daňový nedoplatek ve vztahu ke</w:t>
      </w:r>
      <w:r w:rsidR="00EB1B0F">
        <w:rPr>
          <w:rFonts w:ascii="Tahoma" w:hAnsi="Tahoma" w:cs="Tahoma"/>
          <w:bCs/>
          <w:sz w:val="20"/>
          <w:szCs w:val="20"/>
        </w:rPr>
        <w:t> </w:t>
      </w:r>
      <w:r w:rsidRPr="00EB1B0F">
        <w:rPr>
          <w:rFonts w:ascii="Tahoma" w:hAnsi="Tahoma" w:cs="Tahoma"/>
          <w:bCs/>
          <w:sz w:val="20"/>
          <w:szCs w:val="20"/>
        </w:rPr>
        <w:t>spotřební dani;</w:t>
      </w:r>
    </w:p>
    <w:p w14:paraId="205D215A" w14:textId="4991A66E" w:rsidR="00D31ECF" w:rsidRPr="00EB1B0F" w:rsidRDefault="00D31ECF" w:rsidP="00D31ECF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EB1B0F">
        <w:rPr>
          <w:rFonts w:ascii="Tahoma" w:hAnsi="Tahoma" w:cs="Tahoma"/>
          <w:bCs/>
          <w:sz w:val="20"/>
          <w:szCs w:val="20"/>
        </w:rPr>
        <w:t>nemá v České republice nebo v zemi svého sídla splatný nedoplatek na pojistném nebo na</w:t>
      </w:r>
      <w:r w:rsidR="00EB1B0F">
        <w:rPr>
          <w:rFonts w:ascii="Tahoma" w:hAnsi="Tahoma" w:cs="Tahoma"/>
          <w:bCs/>
          <w:sz w:val="20"/>
          <w:szCs w:val="20"/>
        </w:rPr>
        <w:t> </w:t>
      </w:r>
      <w:r w:rsidRPr="00EB1B0F">
        <w:rPr>
          <w:rFonts w:ascii="Tahoma" w:hAnsi="Tahoma" w:cs="Tahoma"/>
          <w:bCs/>
          <w:sz w:val="20"/>
          <w:szCs w:val="20"/>
        </w:rPr>
        <w:t>penále na veřejné zdravotní pojištění;</w:t>
      </w:r>
    </w:p>
    <w:p w14:paraId="2FD52D2C" w14:textId="75FB8E64" w:rsidR="00D31ECF" w:rsidRPr="00EB1B0F" w:rsidRDefault="00D31ECF" w:rsidP="00D31ECF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EB1B0F">
        <w:rPr>
          <w:rFonts w:ascii="Tahoma" w:hAnsi="Tahoma" w:cs="Tahoma"/>
          <w:bCs/>
          <w:sz w:val="20"/>
          <w:szCs w:val="20"/>
        </w:rPr>
        <w:t>nemá v České republice nebo v zemi svého sídla splatný nedoplatek na pojistném nebo na</w:t>
      </w:r>
      <w:r w:rsidR="00EB1B0F">
        <w:rPr>
          <w:rFonts w:ascii="Tahoma" w:hAnsi="Tahoma" w:cs="Tahoma"/>
          <w:bCs/>
          <w:sz w:val="20"/>
          <w:szCs w:val="20"/>
        </w:rPr>
        <w:t> </w:t>
      </w:r>
      <w:r w:rsidRPr="00EB1B0F">
        <w:rPr>
          <w:rFonts w:ascii="Tahoma" w:hAnsi="Tahoma" w:cs="Tahoma"/>
          <w:bCs/>
          <w:sz w:val="20"/>
          <w:szCs w:val="20"/>
        </w:rPr>
        <w:t>penále na sociální zabezpečení a příspěvku na státní politiku zaměstnanosti;</w:t>
      </w:r>
    </w:p>
    <w:p w14:paraId="2032C2A9" w14:textId="74C660D6" w:rsidR="00D31ECF" w:rsidRPr="00EB1B0F" w:rsidRDefault="00D31ECF" w:rsidP="00D31ECF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EB1B0F">
        <w:rPr>
          <w:rFonts w:ascii="Tahoma" w:hAnsi="Tahoma" w:cs="Tahoma"/>
          <w:bCs/>
          <w:sz w:val="20"/>
          <w:szCs w:val="20"/>
        </w:rPr>
        <w:t xml:space="preserve">není v likvidaci ve smyslu § 187 zákona č. 89/2012 Sb., občanský zákoník, </w:t>
      </w:r>
      <w:r w:rsidR="00EB1B0F">
        <w:rPr>
          <w:rFonts w:ascii="Tahoma" w:hAnsi="Tahoma" w:cs="Tahoma"/>
          <w:bCs/>
          <w:sz w:val="20"/>
          <w:szCs w:val="20"/>
        </w:rPr>
        <w:t>v pozdějším znění</w:t>
      </w:r>
      <w:r w:rsidRPr="00EB1B0F">
        <w:rPr>
          <w:rFonts w:ascii="Tahoma" w:hAnsi="Tahoma" w:cs="Tahoma"/>
          <w:bCs/>
          <w:sz w:val="20"/>
          <w:szCs w:val="20"/>
        </w:rPr>
        <w:t xml:space="preserve">, nebylo </w:t>
      </w:r>
      <w:r w:rsidR="00EB1B0F">
        <w:rPr>
          <w:rFonts w:ascii="Tahoma" w:hAnsi="Tahoma" w:cs="Tahoma"/>
          <w:bCs/>
          <w:sz w:val="20"/>
          <w:szCs w:val="20"/>
        </w:rPr>
        <w:t xml:space="preserve">proti němu </w:t>
      </w:r>
      <w:r w:rsidRPr="00EB1B0F">
        <w:rPr>
          <w:rFonts w:ascii="Tahoma" w:hAnsi="Tahoma" w:cs="Tahoma"/>
          <w:bCs/>
          <w:sz w:val="20"/>
          <w:szCs w:val="20"/>
        </w:rPr>
        <w:t>vydáno rozhodnutí o úpadku ve smyslu § 136 zákona č. 182/2006 Sb., o úpadku a způsobech jeho řešení (insolvenční zákon), v</w:t>
      </w:r>
      <w:r w:rsidR="00EB1B0F">
        <w:rPr>
          <w:rFonts w:ascii="Tahoma" w:hAnsi="Tahoma" w:cs="Tahoma"/>
          <w:bCs/>
          <w:sz w:val="20"/>
          <w:szCs w:val="20"/>
        </w:rPr>
        <w:t> pozdějším znění</w:t>
      </w:r>
      <w:r w:rsidRPr="00EB1B0F">
        <w:rPr>
          <w:rFonts w:ascii="Tahoma" w:hAnsi="Tahoma" w:cs="Tahoma"/>
          <w:bCs/>
          <w:sz w:val="20"/>
          <w:szCs w:val="20"/>
        </w:rPr>
        <w:t xml:space="preserve">, </w:t>
      </w:r>
      <w:r w:rsidR="00EB1B0F" w:rsidRPr="00EB1B0F">
        <w:rPr>
          <w:rFonts w:ascii="Tahoma" w:hAnsi="Tahoma" w:cs="Tahoma"/>
          <w:bCs/>
          <w:sz w:val="20"/>
          <w:szCs w:val="20"/>
        </w:rPr>
        <w:t xml:space="preserve">nebyla </w:t>
      </w:r>
      <w:r w:rsidRPr="00EB1B0F">
        <w:rPr>
          <w:rFonts w:ascii="Tahoma" w:hAnsi="Tahoma" w:cs="Tahoma"/>
          <w:bCs/>
          <w:sz w:val="20"/>
          <w:szCs w:val="20"/>
        </w:rPr>
        <w:t xml:space="preserve">vůči němu nařízena nucená správa podle jiného právního předpisu nebo </w:t>
      </w:r>
      <w:r w:rsidR="00EB1B0F">
        <w:rPr>
          <w:rFonts w:ascii="Tahoma" w:hAnsi="Tahoma" w:cs="Tahoma"/>
          <w:bCs/>
          <w:sz w:val="20"/>
          <w:szCs w:val="20"/>
        </w:rPr>
        <w:t>obdobně</w:t>
      </w:r>
      <w:r w:rsidRPr="00EB1B0F">
        <w:rPr>
          <w:rFonts w:ascii="Tahoma" w:hAnsi="Tahoma" w:cs="Tahoma"/>
          <w:bCs/>
          <w:sz w:val="20"/>
          <w:szCs w:val="20"/>
        </w:rPr>
        <w:t xml:space="preserve"> podle právního řádu země sídla dodavatele.</w:t>
      </w:r>
    </w:p>
    <w:p w14:paraId="508910BC" w14:textId="77777777" w:rsidR="00EB1B0F" w:rsidRDefault="00EB1B0F" w:rsidP="00EB1B0F">
      <w:pPr>
        <w:autoSpaceDE w:val="0"/>
        <w:autoSpaceDN w:val="0"/>
        <w:adjustRightInd w:val="0"/>
        <w:spacing w:before="240" w:after="240"/>
        <w:rPr>
          <w:rFonts w:ascii="Tahoma" w:hAnsi="Tahoma" w:cs="Tahoma"/>
          <w:bCs/>
          <w:sz w:val="20"/>
          <w:szCs w:val="20"/>
        </w:rPr>
      </w:pPr>
    </w:p>
    <w:p w14:paraId="6F6CCA4D" w14:textId="77777777" w:rsidR="00EB1B0F" w:rsidRDefault="00EB1B0F" w:rsidP="00EB1B0F">
      <w:pPr>
        <w:autoSpaceDE w:val="0"/>
        <w:autoSpaceDN w:val="0"/>
        <w:adjustRightInd w:val="0"/>
        <w:spacing w:before="240" w:after="240"/>
        <w:rPr>
          <w:rFonts w:ascii="Tahoma" w:hAnsi="Tahoma" w:cs="Tahoma"/>
          <w:bCs/>
          <w:sz w:val="20"/>
          <w:szCs w:val="20"/>
        </w:rPr>
      </w:pPr>
    </w:p>
    <w:p w14:paraId="1BE57D76" w14:textId="75177F71" w:rsidR="00D31ECF" w:rsidRPr="00EB1B0F" w:rsidRDefault="00D31ECF" w:rsidP="00EB1B0F">
      <w:pPr>
        <w:autoSpaceDE w:val="0"/>
        <w:autoSpaceDN w:val="0"/>
        <w:adjustRightInd w:val="0"/>
        <w:spacing w:before="240" w:after="240"/>
        <w:jc w:val="both"/>
        <w:rPr>
          <w:rFonts w:ascii="Tahoma" w:hAnsi="Tahoma" w:cs="Tahoma"/>
          <w:bCs/>
          <w:sz w:val="20"/>
          <w:szCs w:val="20"/>
        </w:rPr>
      </w:pPr>
      <w:r w:rsidRPr="00EB1B0F">
        <w:rPr>
          <w:rFonts w:ascii="Tahoma" w:hAnsi="Tahoma" w:cs="Tahoma"/>
          <w:bCs/>
          <w:sz w:val="20"/>
          <w:szCs w:val="20"/>
        </w:rPr>
        <w:lastRenderedPageBreak/>
        <w:t>Dodavatel k prokázání profesní způsobilosti prohlašuje, že</w:t>
      </w:r>
      <w:r w:rsidR="00EB1B0F">
        <w:rPr>
          <w:rFonts w:ascii="Tahoma" w:hAnsi="Tahoma" w:cs="Tahoma"/>
          <w:bCs/>
          <w:sz w:val="20"/>
          <w:szCs w:val="20"/>
        </w:rPr>
        <w:t xml:space="preserve"> </w:t>
      </w:r>
      <w:r w:rsidRPr="00EB1B0F">
        <w:rPr>
          <w:rFonts w:ascii="Tahoma" w:hAnsi="Tahoma" w:cs="Tahoma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</w:t>
      </w:r>
      <w:r w:rsidR="00EB1B0F">
        <w:rPr>
          <w:rFonts w:ascii="Tahoma" w:hAnsi="Tahoma" w:cs="Tahoma"/>
          <w:bCs/>
          <w:sz w:val="20"/>
          <w:szCs w:val="20"/>
        </w:rPr>
        <w:t>.</w:t>
      </w:r>
    </w:p>
    <w:p w14:paraId="1E488288" w14:textId="77777777" w:rsidR="00EB1B0F" w:rsidRDefault="00EB1B0F" w:rsidP="00EB1B0F">
      <w:pPr>
        <w:autoSpaceDE w:val="0"/>
        <w:autoSpaceDN w:val="0"/>
        <w:adjustRightInd w:val="0"/>
        <w:spacing w:before="240" w:after="240"/>
        <w:jc w:val="both"/>
        <w:rPr>
          <w:rFonts w:ascii="Tahoma" w:hAnsi="Tahoma" w:cs="Tahoma"/>
          <w:sz w:val="20"/>
          <w:szCs w:val="20"/>
        </w:rPr>
      </w:pPr>
    </w:p>
    <w:p w14:paraId="733DDA7D" w14:textId="3C7CE420" w:rsidR="00EB1B0F" w:rsidRPr="00EB1B0F" w:rsidRDefault="00EB1B0F" w:rsidP="00EB1B0F">
      <w:pPr>
        <w:autoSpaceDE w:val="0"/>
        <w:autoSpaceDN w:val="0"/>
        <w:adjustRightInd w:val="0"/>
        <w:spacing w:before="240" w:after="240"/>
        <w:jc w:val="both"/>
        <w:rPr>
          <w:rFonts w:ascii="Tahoma" w:hAnsi="Tahoma" w:cs="Tahoma"/>
          <w:sz w:val="20"/>
          <w:szCs w:val="20"/>
          <w:shd w:val="clear" w:color="auto" w:fill="FFFF00"/>
        </w:rPr>
      </w:pPr>
      <w:r w:rsidRPr="00EB1B0F">
        <w:rPr>
          <w:rFonts w:ascii="Tahoma" w:hAnsi="Tahoma" w:cs="Tahoma"/>
          <w:sz w:val="20"/>
          <w:szCs w:val="20"/>
        </w:rPr>
        <w:t xml:space="preserve">V </w:t>
      </w:r>
      <w:r w:rsidRPr="00EB1B0F">
        <w:rPr>
          <w:rFonts w:ascii="Tahoma" w:hAnsi="Tahoma" w:cs="Tahoma"/>
          <w:sz w:val="20"/>
          <w:szCs w:val="20"/>
          <w:shd w:val="clear" w:color="auto" w:fill="FFFF00"/>
        </w:rPr>
        <w:t xml:space="preserve">(doplní dodavatel) </w:t>
      </w:r>
      <w:r w:rsidRPr="00EB1B0F">
        <w:rPr>
          <w:rFonts w:ascii="Tahoma" w:hAnsi="Tahoma" w:cs="Tahoma"/>
          <w:sz w:val="20"/>
          <w:szCs w:val="20"/>
        </w:rPr>
        <w:t xml:space="preserve">dne </w:t>
      </w:r>
      <w:r w:rsidRPr="00EB1B0F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26F3DA5C" w14:textId="77777777" w:rsidR="00EB1B0F" w:rsidRPr="00EB1B0F" w:rsidRDefault="00EB1B0F" w:rsidP="00EB1B0F">
      <w:pPr>
        <w:autoSpaceDE w:val="0"/>
        <w:autoSpaceDN w:val="0"/>
        <w:adjustRightInd w:val="0"/>
        <w:spacing w:before="240" w:after="240"/>
        <w:ind w:left="360"/>
        <w:jc w:val="both"/>
        <w:rPr>
          <w:rFonts w:ascii="Tahoma" w:hAnsi="Tahoma" w:cs="Tahoma"/>
          <w:sz w:val="20"/>
          <w:szCs w:val="20"/>
        </w:rPr>
      </w:pPr>
    </w:p>
    <w:p w14:paraId="740CB317" w14:textId="77777777" w:rsidR="00EB1B0F" w:rsidRPr="00EB1B0F" w:rsidRDefault="00EB1B0F" w:rsidP="00EB1B0F">
      <w:pPr>
        <w:autoSpaceDE w:val="0"/>
        <w:autoSpaceDN w:val="0"/>
        <w:adjustRightInd w:val="0"/>
        <w:spacing w:after="120" w:line="240" w:lineRule="auto"/>
        <w:ind w:left="360"/>
        <w:jc w:val="right"/>
        <w:rPr>
          <w:rFonts w:ascii="Tahoma" w:hAnsi="Tahoma" w:cs="Tahoma"/>
          <w:sz w:val="20"/>
          <w:szCs w:val="20"/>
        </w:rPr>
      </w:pPr>
      <w:r w:rsidRPr="00EB1B0F">
        <w:rPr>
          <w:rFonts w:ascii="Tahoma" w:hAnsi="Tahoma" w:cs="Tahoma"/>
          <w:sz w:val="20"/>
          <w:szCs w:val="20"/>
        </w:rPr>
        <w:t>………………………………………….</w:t>
      </w:r>
    </w:p>
    <w:p w14:paraId="263F77FC" w14:textId="77777777" w:rsidR="00EB1B0F" w:rsidRPr="00EB1B0F" w:rsidRDefault="00EB1B0F" w:rsidP="00EB1B0F">
      <w:pPr>
        <w:autoSpaceDE w:val="0"/>
        <w:autoSpaceDN w:val="0"/>
        <w:adjustRightInd w:val="0"/>
        <w:spacing w:after="120" w:line="240" w:lineRule="auto"/>
        <w:ind w:left="360"/>
        <w:jc w:val="right"/>
        <w:rPr>
          <w:rFonts w:ascii="Tahoma" w:hAnsi="Tahoma" w:cs="Tahoma"/>
          <w:sz w:val="20"/>
          <w:szCs w:val="20"/>
        </w:rPr>
      </w:pPr>
      <w:r w:rsidRPr="00EB1B0F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6BEAD77C" w14:textId="77777777" w:rsidR="00EB1B0F" w:rsidRPr="00EB1B0F" w:rsidRDefault="00EB1B0F" w:rsidP="00EB1B0F">
      <w:pPr>
        <w:autoSpaceDE w:val="0"/>
        <w:autoSpaceDN w:val="0"/>
        <w:adjustRightInd w:val="0"/>
        <w:spacing w:after="120" w:line="240" w:lineRule="auto"/>
        <w:ind w:left="360"/>
        <w:jc w:val="right"/>
        <w:rPr>
          <w:rFonts w:ascii="Tahoma" w:hAnsi="Tahoma" w:cs="Tahoma"/>
          <w:sz w:val="20"/>
          <w:szCs w:val="20"/>
        </w:rPr>
      </w:pPr>
      <w:r w:rsidRPr="00EB1B0F">
        <w:rPr>
          <w:rFonts w:ascii="Tahoma" w:hAnsi="Tahoma" w:cs="Tahoma"/>
          <w:sz w:val="20"/>
          <w:szCs w:val="20"/>
        </w:rPr>
        <w:t>jednající</w:t>
      </w:r>
    </w:p>
    <w:p w14:paraId="2B59A131" w14:textId="77777777" w:rsidR="00EB1B0F" w:rsidRPr="00EB1B0F" w:rsidRDefault="00EB1B0F" w:rsidP="00EB1B0F">
      <w:pPr>
        <w:autoSpaceDE w:val="0"/>
        <w:autoSpaceDN w:val="0"/>
        <w:adjustRightInd w:val="0"/>
        <w:spacing w:after="120" w:line="240" w:lineRule="auto"/>
        <w:ind w:left="360"/>
        <w:jc w:val="right"/>
        <w:rPr>
          <w:rFonts w:ascii="Tahoma" w:hAnsi="Tahoma" w:cs="Tahoma"/>
          <w:sz w:val="20"/>
          <w:szCs w:val="20"/>
        </w:rPr>
      </w:pPr>
      <w:r w:rsidRPr="00EB1B0F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17FD80AB" w14:textId="77777777" w:rsidR="00EB1B0F" w:rsidRPr="00EB1B0F" w:rsidRDefault="00EB1B0F" w:rsidP="00EB1B0F">
      <w:pPr>
        <w:spacing w:before="120" w:after="120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190BFA25" w14:textId="77777777" w:rsidR="00656BBE" w:rsidRPr="00EB1B0F" w:rsidRDefault="00656BBE">
      <w:pPr>
        <w:rPr>
          <w:rFonts w:ascii="Tahoma" w:hAnsi="Tahoma" w:cs="Tahoma"/>
        </w:rPr>
      </w:pPr>
    </w:p>
    <w:sectPr w:rsidR="00656BBE" w:rsidRPr="00EB1B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EC681" w14:textId="77777777" w:rsidR="008909C0" w:rsidRDefault="008909C0" w:rsidP="00EB1B0F">
      <w:pPr>
        <w:spacing w:after="0" w:line="240" w:lineRule="auto"/>
      </w:pPr>
      <w:r>
        <w:separator/>
      </w:r>
    </w:p>
  </w:endnote>
  <w:endnote w:type="continuationSeparator" w:id="0">
    <w:p w14:paraId="6A645268" w14:textId="77777777" w:rsidR="008909C0" w:rsidRDefault="008909C0" w:rsidP="00EB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-259369573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F82E4D3" w14:textId="5F19B51C" w:rsidR="00EB1B0F" w:rsidRPr="00EB1B0F" w:rsidRDefault="00EB1B0F">
            <w:pPr>
              <w:pStyle w:val="Zpa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B1B0F">
              <w:rPr>
                <w:rFonts w:ascii="Tahoma" w:hAnsi="Tahoma" w:cs="Tahoma"/>
                <w:sz w:val="16"/>
                <w:szCs w:val="16"/>
              </w:rPr>
              <w:t xml:space="preserve">Stránka </w:t>
            </w:r>
            <w:r w:rsidRPr="00EB1B0F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EB1B0F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EB1B0F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EB1B0F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EB1B0F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EB1B0F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Pr="00EB1B0F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EB1B0F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EB1B0F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EB1B0F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EB1B0F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39678F" w14:textId="77777777" w:rsidR="00EB1B0F" w:rsidRDefault="00EB1B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0A64D" w14:textId="77777777" w:rsidR="008909C0" w:rsidRDefault="008909C0" w:rsidP="00EB1B0F">
      <w:pPr>
        <w:spacing w:after="0" w:line="240" w:lineRule="auto"/>
      </w:pPr>
      <w:r>
        <w:separator/>
      </w:r>
    </w:p>
  </w:footnote>
  <w:footnote w:type="continuationSeparator" w:id="0">
    <w:p w14:paraId="17773EDB" w14:textId="77777777" w:rsidR="008909C0" w:rsidRDefault="008909C0" w:rsidP="00EB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9BC55" w14:textId="751D953A" w:rsidR="00EB1B0F" w:rsidRDefault="00EB1B0F">
    <w:pPr>
      <w:pStyle w:val="Zhlav"/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0AF2BF9E" wp14:editId="29906E62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5231126" cy="857250"/>
          <wp:effectExtent l="0" t="0" r="8255" b="0"/>
          <wp:wrapSquare wrapText="bothSides"/>
          <wp:docPr id="1591849517" name="Obrázek 3" descr="H:\DOKUMENTY JB\cisterna Pchery\příprava Pchery\IROP_CZ_RO_B_C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1126" cy="857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428CA"/>
    <w:multiLevelType w:val="hybridMultilevel"/>
    <w:tmpl w:val="6B2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02AF91C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22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232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471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9513207">
    <w:abstractNumId w:val="0"/>
  </w:num>
  <w:num w:numId="5" w16cid:durableId="62602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CF"/>
    <w:rsid w:val="00305650"/>
    <w:rsid w:val="00386A02"/>
    <w:rsid w:val="00426E03"/>
    <w:rsid w:val="00656BBE"/>
    <w:rsid w:val="00680D5A"/>
    <w:rsid w:val="00687628"/>
    <w:rsid w:val="00814E71"/>
    <w:rsid w:val="008909C0"/>
    <w:rsid w:val="00C45DAB"/>
    <w:rsid w:val="00D31ECF"/>
    <w:rsid w:val="00EA5A6F"/>
    <w:rsid w:val="00EB1B0F"/>
    <w:rsid w:val="00F4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BB2D"/>
  <w15:chartTrackingRefBased/>
  <w15:docId w15:val="{83D23921-5C35-45F5-897B-096AB1D7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ECF"/>
    <w:pPr>
      <w:spacing w:after="200" w:line="276" w:lineRule="auto"/>
    </w:pPr>
    <w:rPr>
      <w:rFonts w:eastAsiaTheme="minorEastAsia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31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1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1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1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1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1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1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1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1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1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1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1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1E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1E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1E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1E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1E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1E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1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1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1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1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1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1E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1E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1E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1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1E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1E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B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B0F"/>
    <w:rPr>
      <w:rFonts w:eastAsiaTheme="minorEastAsia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B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B0F"/>
    <w:rPr>
      <w:rFonts w:eastAsiaTheme="minorEastAsia"/>
      <w:kern w:val="0"/>
      <w:sz w:val="22"/>
      <w:szCs w:val="22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EB1B0F"/>
    <w:pPr>
      <w:suppressAutoHyphens/>
      <w:autoSpaceDN w:val="0"/>
      <w:spacing w:after="120" w:line="48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EB1B0F"/>
    <w:rPr>
      <w:rFonts w:ascii="Verdana" w:eastAsia="Times New Roman" w:hAnsi="Verdana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2465</Characters>
  <Application>Microsoft Office Word</Application>
  <DocSecurity>0</DocSecurity>
  <Lines>20</Lines>
  <Paragraphs>5</Paragraphs>
  <ScaleCrop>false</ScaleCrop>
  <Company>MSMT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Klimt Alena</dc:creator>
  <cp:keywords/>
  <dc:description/>
  <cp:lastModifiedBy>lka 3</cp:lastModifiedBy>
  <cp:revision>5</cp:revision>
  <dcterms:created xsi:type="dcterms:W3CDTF">2025-09-09T12:21:00Z</dcterms:created>
  <dcterms:modified xsi:type="dcterms:W3CDTF">2025-09-15T14:47:00Z</dcterms:modified>
</cp:coreProperties>
</file>